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75"/>
        <w:ind w:right="0" w:left="0" w:firstLine="0"/>
        <w:jc w:val="left"/>
        <w:rPr>
          <w:rFonts w:ascii="inherit" w:hAnsi="inherit" w:cs="inherit" w:eastAsia="inherit"/>
          <w:color w:val="606060"/>
          <w:spacing w:val="0"/>
          <w:position w:val="0"/>
          <w:sz w:val="20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UFCD- (7589)- Culturas forrageiras e conservação</w:t>
      </w:r>
    </w:p>
    <w:tbl>
      <w:tblPr>
        <w:tblInd w:w="50" w:type="dxa"/>
      </w:tblPr>
      <w:tblGrid>
        <w:gridCol w:w="1728"/>
        <w:gridCol w:w="4050"/>
        <w:gridCol w:w="1137"/>
      </w:tblGrid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teórica (30%)(Saber)</w:t>
            </w: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Avaliação sumativa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30%</w:t>
            </w:r>
          </w:p>
        </w:tc>
      </w:tr>
      <w:tr>
        <w:trPr>
          <w:trHeight w:val="576" w:hRule="auto"/>
          <w:jc w:val="left"/>
        </w:trPr>
        <w:tc>
          <w:tcPr>
            <w:tcW w:w="1728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prática (40%)(Saber-Fazer)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Atividades práticas na exploração agricola da escola  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30%</w:t>
            </w:r>
          </w:p>
        </w:tc>
      </w:tr>
      <w:tr>
        <w:trPr>
          <w:trHeight w:val="204" w:hRule="auto"/>
          <w:jc w:val="left"/>
        </w:trPr>
        <w:tc>
          <w:tcPr>
            <w:tcW w:w="1728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75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Relatórios das visitas de estudo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10%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atitudinal (30%)-(Saber-Ser)</w:t>
            </w: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-Comportamento e sociabilidade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0"/>
                <w:shd w:fill="auto" w:val="clear"/>
              </w:rPr>
              <w:t xml:space="preserve">-Participação nas aulas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-Autonomia e sentido de responsabilidade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577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Total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100%</w:t>
            </w:r>
          </w:p>
        </w:tc>
      </w:tr>
    </w:tbl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75"/>
        <w:ind w:right="0" w:left="0" w:firstLine="0"/>
        <w:jc w:val="left"/>
        <w:rPr>
          <w:rFonts w:ascii="inherit" w:hAnsi="inherit" w:cs="inherit" w:eastAsia="inherit"/>
          <w:color w:val="606060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